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AD" w:rsidRDefault="002B0EAD" w:rsidP="006E6F7E">
      <w:pPr>
        <w:spacing w:after="0" w:line="330" w:lineRule="atLeast"/>
        <w:rPr>
          <w:rFonts w:ascii="Scala-Regular" w:eastAsia="Times New Roman" w:hAnsi="Scala-Regular" w:cstheme="minorHAnsi"/>
          <w:b/>
          <w:sz w:val="23"/>
          <w:szCs w:val="23"/>
          <w:lang w:eastAsia="nl-NL"/>
        </w:rPr>
      </w:pPr>
      <w:r>
        <w:rPr>
          <w:rFonts w:ascii="Scala-Regular" w:eastAsia="Times New Roman" w:hAnsi="Scala-Regular" w:cstheme="minorHAnsi"/>
          <w:b/>
          <w:sz w:val="23"/>
          <w:szCs w:val="23"/>
          <w:lang w:eastAsia="nl-NL"/>
        </w:rPr>
        <w:t>Dialectische Gedragstherapie</w:t>
      </w:r>
    </w:p>
    <w:p w:rsidR="002B0EAD" w:rsidRDefault="002B0EAD" w:rsidP="006E6F7E">
      <w:pPr>
        <w:spacing w:after="0" w:line="330" w:lineRule="atLeast"/>
        <w:rPr>
          <w:rFonts w:ascii="Scala-Regular" w:eastAsia="Times New Roman" w:hAnsi="Scala-Regular" w:cstheme="minorHAnsi"/>
          <w:b/>
          <w:sz w:val="23"/>
          <w:szCs w:val="23"/>
          <w:lang w:eastAsia="nl-NL"/>
        </w:rPr>
      </w:pPr>
    </w:p>
    <w:p w:rsidR="006E6F7E" w:rsidRPr="002B0EAD" w:rsidRDefault="006E6F7E" w:rsidP="006E6F7E">
      <w:pPr>
        <w:spacing w:after="0" w:line="330" w:lineRule="atLeast"/>
        <w:rPr>
          <w:rFonts w:ascii="Scala-Regular" w:eastAsia="Times New Roman" w:hAnsi="Scala-Regular" w:cstheme="minorHAnsi"/>
          <w:b/>
          <w:sz w:val="23"/>
          <w:szCs w:val="23"/>
          <w:lang w:eastAsia="nl-NL"/>
        </w:rPr>
      </w:pPr>
      <w:r w:rsidRPr="002B0EAD">
        <w:rPr>
          <w:rFonts w:ascii="Scala-Regular" w:eastAsia="Times New Roman" w:hAnsi="Scala-Regular" w:cstheme="minorHAnsi"/>
          <w:b/>
          <w:sz w:val="23"/>
          <w:szCs w:val="23"/>
          <w:lang w:eastAsia="nl-NL"/>
        </w:rPr>
        <w:t>Wat leer je?</w:t>
      </w:r>
    </w:p>
    <w:p w:rsidR="006E6F7E" w:rsidRPr="002B0EAD" w:rsidRDefault="006E6F7E" w:rsidP="006E6F7E">
      <w:pPr>
        <w:spacing w:after="0" w:line="240" w:lineRule="auto"/>
        <w:rPr>
          <w:rFonts w:ascii="Scala-Regular" w:eastAsia="Times New Roman" w:hAnsi="Scala-Regular" w:cstheme="minorHAnsi"/>
          <w:sz w:val="23"/>
          <w:szCs w:val="23"/>
          <w:lang w:eastAsia="nl-NL"/>
        </w:rPr>
      </w:pPr>
      <w:r w:rsidRPr="002B0EAD">
        <w:rPr>
          <w:rFonts w:ascii="Scala-Regular" w:eastAsia="Times New Roman" w:hAnsi="Scala-Regular" w:cstheme="minorHAnsi"/>
          <w:sz w:val="23"/>
          <w:szCs w:val="23"/>
          <w:lang w:eastAsia="nl-NL"/>
        </w:rPr>
        <w:t>De masterclass is een inleiding in DGT. Je leert de basis van het programma van DGT. Je leert dat de commitment in dialectische gedragstherapie centraal staat. Commitment van de therapeut aan het programma en haar doelstellingen en commitment van de cliënt aan de therapeut en de therapie. Je krijgt de eerste praktische DGT handvatten mee om jongeren en jongvolwassenen met ernstige emotionele ontregeling te gaan begeleiden naar commitment.</w:t>
      </w:r>
    </w:p>
    <w:p w:rsidR="006E6F7E" w:rsidRPr="002B0EAD" w:rsidRDefault="006E6F7E" w:rsidP="006E6F7E">
      <w:pPr>
        <w:spacing w:after="0" w:line="240" w:lineRule="auto"/>
        <w:rPr>
          <w:rFonts w:ascii="Scala-Regular" w:eastAsia="Times New Roman" w:hAnsi="Scala-Regular" w:cstheme="minorHAnsi"/>
          <w:sz w:val="23"/>
          <w:szCs w:val="23"/>
          <w:lang w:eastAsia="nl-NL"/>
        </w:rPr>
      </w:pPr>
      <w:r w:rsidRPr="002B0EAD">
        <w:rPr>
          <w:rFonts w:ascii="Scala-Regular" w:eastAsia="Times New Roman" w:hAnsi="Scala-Regular" w:cstheme="minorHAnsi"/>
          <w:sz w:val="23"/>
          <w:szCs w:val="23"/>
          <w:lang w:eastAsia="nl-NL"/>
        </w:rPr>
        <w:t> </w:t>
      </w:r>
    </w:p>
    <w:p w:rsidR="006E6F7E" w:rsidRPr="002B0EAD" w:rsidRDefault="006E6F7E" w:rsidP="006E6F7E">
      <w:pPr>
        <w:spacing w:after="0" w:line="330" w:lineRule="atLeast"/>
        <w:rPr>
          <w:rFonts w:ascii="Scala-Regular" w:eastAsia="Times New Roman" w:hAnsi="Scala-Regular" w:cstheme="minorHAnsi"/>
          <w:b/>
          <w:sz w:val="23"/>
          <w:szCs w:val="23"/>
          <w:lang w:eastAsia="nl-NL"/>
        </w:rPr>
      </w:pPr>
      <w:r w:rsidRPr="002B0EAD">
        <w:rPr>
          <w:rFonts w:ascii="Scala-Regular" w:eastAsia="Times New Roman" w:hAnsi="Scala-Regular" w:cstheme="minorHAnsi"/>
          <w:b/>
          <w:sz w:val="23"/>
          <w:szCs w:val="23"/>
          <w:lang w:eastAsia="nl-NL"/>
        </w:rPr>
        <w:t>Inleiding</w:t>
      </w:r>
    </w:p>
    <w:p w:rsidR="006E6F7E" w:rsidRPr="002B0EAD" w:rsidRDefault="006E6F7E" w:rsidP="006E6F7E">
      <w:pPr>
        <w:rPr>
          <w:rFonts w:ascii="Scala-Regular" w:eastAsia="Times New Roman" w:hAnsi="Scala-Regular" w:cstheme="minorHAnsi"/>
          <w:sz w:val="23"/>
          <w:szCs w:val="23"/>
          <w:lang w:eastAsia="nl-NL"/>
        </w:rPr>
      </w:pPr>
      <w:r w:rsidRPr="002B0EAD">
        <w:rPr>
          <w:rFonts w:ascii="Scala-Regular" w:eastAsia="Times New Roman" w:hAnsi="Scala-Regular" w:cstheme="minorHAnsi"/>
          <w:sz w:val="23"/>
          <w:szCs w:val="23"/>
          <w:lang w:eastAsia="nl-NL"/>
        </w:rPr>
        <w:t>Dialectische gedragstherapie is op dit moment de best onderzochte behandelmethode voor jongeren en voor volwassenen die ernstig emotioneel ontregeld zijn</w:t>
      </w:r>
      <w:r w:rsidRPr="002B0EAD">
        <w:rPr>
          <w:rFonts w:ascii="Scala-Regular" w:hAnsi="Scala-Regular" w:cstheme="minorHAnsi"/>
          <w:sz w:val="23"/>
          <w:szCs w:val="23"/>
        </w:rPr>
        <w:t xml:space="preserve"> en waarbij sprake is van een (borderline) persoonlijkheidsstoornis</w:t>
      </w:r>
      <w:r w:rsidRPr="002B0EAD">
        <w:rPr>
          <w:rFonts w:ascii="Scala-Regular" w:eastAsia="Times New Roman" w:hAnsi="Scala-Regular" w:cstheme="minorHAnsi"/>
          <w:sz w:val="23"/>
          <w:szCs w:val="23"/>
          <w:lang w:eastAsia="nl-NL"/>
        </w:rPr>
        <w:t>. De effectiviteit van DGT is aangetoond bij een veelvoud van ernstige (</w:t>
      </w:r>
      <w:proofErr w:type="spellStart"/>
      <w:r w:rsidRPr="002B0EAD">
        <w:rPr>
          <w:rFonts w:ascii="Scala-Regular" w:eastAsia="Times New Roman" w:hAnsi="Scala-Regular" w:cstheme="minorHAnsi"/>
          <w:sz w:val="23"/>
          <w:szCs w:val="23"/>
          <w:lang w:eastAsia="nl-NL"/>
        </w:rPr>
        <w:t>gedrags</w:t>
      </w:r>
      <w:proofErr w:type="spellEnd"/>
      <w:r w:rsidRPr="002B0EAD">
        <w:rPr>
          <w:rFonts w:ascii="Scala-Regular" w:eastAsia="Times New Roman" w:hAnsi="Scala-Regular" w:cstheme="minorHAnsi"/>
          <w:sz w:val="23"/>
          <w:szCs w:val="23"/>
          <w:lang w:eastAsia="nl-NL"/>
        </w:rPr>
        <w:t xml:space="preserve">)problematiek, vaak </w:t>
      </w:r>
      <w:proofErr w:type="spellStart"/>
      <w:r w:rsidRPr="002B0EAD">
        <w:rPr>
          <w:rFonts w:ascii="Scala-Regular" w:eastAsia="Times New Roman" w:hAnsi="Scala-Regular" w:cstheme="minorHAnsi"/>
          <w:sz w:val="23"/>
          <w:szCs w:val="23"/>
          <w:lang w:eastAsia="nl-NL"/>
        </w:rPr>
        <w:t>comorbide</w:t>
      </w:r>
      <w:proofErr w:type="spellEnd"/>
      <w:r w:rsidRPr="002B0EAD">
        <w:rPr>
          <w:rFonts w:ascii="Scala-Regular" w:eastAsia="Times New Roman" w:hAnsi="Scala-Regular" w:cstheme="minorHAnsi"/>
          <w:sz w:val="23"/>
          <w:szCs w:val="23"/>
          <w:lang w:eastAsia="nl-NL"/>
        </w:rPr>
        <w:t xml:space="preserve"> aan de persoonlijkheidsstoornis: middelenmisbruik, PTSS en eetstoornissen. </w:t>
      </w:r>
    </w:p>
    <w:p w:rsidR="006E6F7E" w:rsidRPr="002B0EAD" w:rsidRDefault="006E6F7E" w:rsidP="006E6F7E">
      <w:pPr>
        <w:rPr>
          <w:rFonts w:ascii="Scala-Regular" w:hAnsi="Scala-Regular" w:cstheme="minorHAnsi"/>
          <w:sz w:val="23"/>
          <w:szCs w:val="23"/>
        </w:rPr>
      </w:pPr>
      <w:r w:rsidRPr="002B0EAD">
        <w:rPr>
          <w:rFonts w:ascii="Scala-Regular" w:eastAsia="Times New Roman" w:hAnsi="Scala-Regular" w:cstheme="minorHAnsi"/>
          <w:sz w:val="23"/>
          <w:szCs w:val="23"/>
          <w:lang w:eastAsia="nl-NL"/>
        </w:rPr>
        <w:t xml:space="preserve">Voor jou als behandelaar is het vaak moeilijk om te balanceren tussen het toepassen van de gedragstherapeutische interventies en de strategieën die voortkomen uit validatie en acceptatie bij je patiënt, zeker als de patiënt zelf voortdurend uit evenwicht raakt. Dit heeft een flinke emotionele impact op jou als behandelaar. </w:t>
      </w:r>
      <w:r w:rsidRPr="002B0EAD">
        <w:rPr>
          <w:rFonts w:ascii="Scala-Regular" w:hAnsi="Scala-Regular" w:cstheme="minorHAnsi"/>
          <w:sz w:val="23"/>
          <w:szCs w:val="23"/>
        </w:rPr>
        <w:t>In Dialectische Gedragstherapie leren hulpverleners dan ook eerst te zorgen voor zichzelf. Daarna leren zij hoe zij de patiënt tot commitment kunnen brengen, op het moment van kennismaking. Een bijzondere set interventies is daarbij van belang: de interventies die gebruikt worden om tot overeenstemming over de behandeling en de samenwerking te komen (commitment strategieën).</w:t>
      </w:r>
    </w:p>
    <w:p w:rsidR="006E6F7E" w:rsidRPr="002B0EAD" w:rsidRDefault="006E6F7E" w:rsidP="006E6F7E">
      <w:pPr>
        <w:spacing w:after="0" w:line="330" w:lineRule="atLeast"/>
        <w:rPr>
          <w:rFonts w:ascii="Scala-Regular" w:eastAsia="Times New Roman" w:hAnsi="Scala-Regular" w:cstheme="minorHAnsi"/>
          <w:b/>
          <w:sz w:val="23"/>
          <w:szCs w:val="23"/>
          <w:lang w:eastAsia="nl-NL"/>
        </w:rPr>
      </w:pPr>
      <w:r w:rsidRPr="002B0EAD">
        <w:rPr>
          <w:rFonts w:ascii="Scala-Regular" w:eastAsia="Times New Roman" w:hAnsi="Scala-Regular" w:cstheme="minorHAnsi"/>
          <w:b/>
          <w:sz w:val="23"/>
          <w:szCs w:val="23"/>
          <w:lang w:eastAsia="nl-NL"/>
        </w:rPr>
        <w:t> Inhoud</w:t>
      </w:r>
    </w:p>
    <w:p w:rsidR="006E6F7E" w:rsidRPr="002B0EAD" w:rsidRDefault="006E6F7E" w:rsidP="006E6F7E">
      <w:pPr>
        <w:numPr>
          <w:ilvl w:val="0"/>
          <w:numId w:val="2"/>
        </w:numPr>
        <w:spacing w:after="0" w:line="330" w:lineRule="atLeast"/>
        <w:rPr>
          <w:rFonts w:ascii="Scala-Regular" w:eastAsia="Times New Roman" w:hAnsi="Scala-Regular" w:cstheme="minorHAnsi"/>
          <w:sz w:val="23"/>
          <w:szCs w:val="23"/>
          <w:lang w:eastAsia="nl-NL"/>
        </w:rPr>
      </w:pPr>
      <w:r w:rsidRPr="002B0EAD">
        <w:rPr>
          <w:rFonts w:ascii="Scala-Regular" w:eastAsia="Times New Roman" w:hAnsi="Scala-Regular" w:cstheme="minorHAnsi"/>
          <w:sz w:val="23"/>
          <w:szCs w:val="23"/>
          <w:lang w:eastAsia="nl-NL"/>
        </w:rPr>
        <w:t>Opbouw en basis van dialectische gedragstherapie</w:t>
      </w:r>
    </w:p>
    <w:p w:rsidR="006E6F7E" w:rsidRPr="002B0EAD" w:rsidRDefault="006E6F7E" w:rsidP="006E6F7E">
      <w:pPr>
        <w:numPr>
          <w:ilvl w:val="0"/>
          <w:numId w:val="2"/>
        </w:numPr>
        <w:spacing w:after="0" w:line="330" w:lineRule="atLeast"/>
        <w:rPr>
          <w:rFonts w:ascii="Scala-Regular" w:eastAsia="Times New Roman" w:hAnsi="Scala-Regular" w:cstheme="minorHAnsi"/>
          <w:sz w:val="23"/>
          <w:szCs w:val="23"/>
          <w:lang w:eastAsia="nl-NL"/>
        </w:rPr>
      </w:pPr>
      <w:r w:rsidRPr="002B0EAD">
        <w:rPr>
          <w:rFonts w:ascii="Scala-Regular" w:eastAsia="Times New Roman" w:hAnsi="Scala-Regular" w:cstheme="minorHAnsi"/>
          <w:sz w:val="23"/>
          <w:szCs w:val="23"/>
          <w:lang w:eastAsia="nl-NL"/>
        </w:rPr>
        <w:t>Hoe kun je een open en onbevooroordeelde attitude verwerven ten aanzien van je ernstig ontregelde patiënt, waarbij je je professionele houding balanceert met betrokkenheid bij je patiënt</w:t>
      </w:r>
      <w:r w:rsidR="00C82AE8" w:rsidRPr="002B0EAD">
        <w:rPr>
          <w:rFonts w:ascii="Scala-Regular" w:eastAsia="Times New Roman" w:hAnsi="Scala-Regular" w:cstheme="minorHAnsi"/>
          <w:sz w:val="23"/>
          <w:szCs w:val="23"/>
          <w:lang w:eastAsia="nl-NL"/>
        </w:rPr>
        <w:t>.</w:t>
      </w:r>
    </w:p>
    <w:p w:rsidR="006E6F7E" w:rsidRPr="002B0EAD" w:rsidRDefault="006E6F7E" w:rsidP="006E6F7E">
      <w:pPr>
        <w:numPr>
          <w:ilvl w:val="0"/>
          <w:numId w:val="2"/>
        </w:numPr>
        <w:spacing w:after="240" w:line="330" w:lineRule="atLeast"/>
        <w:rPr>
          <w:rFonts w:ascii="Scala-Regular" w:eastAsia="Times New Roman" w:hAnsi="Scala-Regular" w:cstheme="minorHAnsi"/>
          <w:sz w:val="23"/>
          <w:szCs w:val="23"/>
          <w:lang w:eastAsia="nl-NL"/>
        </w:rPr>
      </w:pPr>
      <w:r w:rsidRPr="002B0EAD">
        <w:rPr>
          <w:rFonts w:ascii="Scala-Regular" w:eastAsia="Times New Roman" w:hAnsi="Scala-Regular" w:cstheme="minorHAnsi"/>
          <w:sz w:val="23"/>
          <w:szCs w:val="23"/>
          <w:lang w:eastAsia="nl-NL"/>
        </w:rPr>
        <w:t>Hoe kun je gedragsverandering gericht op vermindering van impulscontroleverlies en emotionele ontregeling realiseren en consolideren bij je patiënt?</w:t>
      </w:r>
    </w:p>
    <w:p w:rsidR="006E6F7E" w:rsidRPr="002B0EAD" w:rsidRDefault="006E6F7E" w:rsidP="006E6F7E">
      <w:pPr>
        <w:spacing w:after="0" w:line="330" w:lineRule="atLeast"/>
        <w:rPr>
          <w:rFonts w:ascii="Scala-Regular" w:eastAsia="Times New Roman" w:hAnsi="Scala-Regular" w:cs="Calibri"/>
          <w:b/>
          <w:sz w:val="23"/>
          <w:szCs w:val="23"/>
          <w:lang w:eastAsia="nl-NL"/>
        </w:rPr>
      </w:pPr>
      <w:r w:rsidRPr="002B0EAD">
        <w:rPr>
          <w:rFonts w:ascii="Scala-Regular" w:eastAsia="Times New Roman" w:hAnsi="Scala-Regular" w:cs="Calibri"/>
          <w:b/>
          <w:sz w:val="23"/>
          <w:szCs w:val="23"/>
          <w:lang w:eastAsia="nl-NL"/>
        </w:rPr>
        <w:t>Programma</w:t>
      </w:r>
    </w:p>
    <w:tbl>
      <w:tblPr>
        <w:tblW w:w="0" w:type="auto"/>
        <w:tblCellMar>
          <w:left w:w="0" w:type="dxa"/>
          <w:right w:w="0" w:type="dxa"/>
        </w:tblCellMar>
        <w:tblLook w:val="04A0" w:firstRow="1" w:lastRow="0" w:firstColumn="1" w:lastColumn="0" w:noHBand="0" w:noVBand="1"/>
      </w:tblPr>
      <w:tblGrid>
        <w:gridCol w:w="556"/>
        <w:gridCol w:w="173"/>
        <w:gridCol w:w="8224"/>
      </w:tblGrid>
      <w:tr w:rsidR="002B0EAD" w:rsidRPr="002B0EAD" w:rsidTr="006E6F7E">
        <w:tc>
          <w:tcPr>
            <w:tcW w:w="0" w:type="auto"/>
            <w:tcBorders>
              <w:top w:val="single" w:sz="8" w:space="0" w:color="CCCCCC"/>
              <w:left w:val="single" w:sz="8" w:space="0" w:color="CCCCCC"/>
              <w:bottom w:val="nil"/>
              <w:right w:val="nil"/>
            </w:tcBorders>
            <w:hideMark/>
          </w:tcPr>
          <w:p w:rsidR="006E6F7E" w:rsidRPr="002B0EAD" w:rsidRDefault="006E6F7E" w:rsidP="006E6F7E">
            <w:pPr>
              <w:spacing w:after="0" w:line="240" w:lineRule="auto"/>
              <w:jc w:val="right"/>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9.00</w:t>
            </w:r>
          </w:p>
        </w:tc>
        <w:tc>
          <w:tcPr>
            <w:tcW w:w="0" w:type="auto"/>
            <w:tcBorders>
              <w:top w:val="single" w:sz="8" w:space="0" w:color="CCCCCC"/>
              <w:left w:val="nil"/>
              <w:bottom w:val="nil"/>
              <w:right w:val="nil"/>
            </w:tcBorders>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   </w:t>
            </w:r>
          </w:p>
        </w:tc>
        <w:tc>
          <w:tcPr>
            <w:tcW w:w="0" w:type="auto"/>
            <w:tcBorders>
              <w:top w:val="single" w:sz="8" w:space="0" w:color="CCCCCC"/>
              <w:left w:val="nil"/>
              <w:bottom w:val="nil"/>
              <w:right w:val="single" w:sz="8" w:space="0" w:color="CCCCCC"/>
            </w:tcBorders>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Inloop met koffie en thee</w:t>
            </w:r>
          </w:p>
        </w:tc>
      </w:tr>
      <w:tr w:rsidR="002B0EAD" w:rsidRPr="002B0EAD" w:rsidTr="006E6F7E">
        <w:tc>
          <w:tcPr>
            <w:tcW w:w="0" w:type="auto"/>
            <w:tcBorders>
              <w:top w:val="nil"/>
              <w:left w:val="single" w:sz="8" w:space="0" w:color="CCCCCC"/>
              <w:bottom w:val="nil"/>
              <w:right w:val="nil"/>
            </w:tcBorders>
            <w:hideMark/>
          </w:tcPr>
          <w:p w:rsidR="006E6F7E" w:rsidRPr="002B0EAD" w:rsidRDefault="006E6F7E" w:rsidP="006E6F7E">
            <w:pPr>
              <w:spacing w:after="0" w:line="240" w:lineRule="auto"/>
              <w:jc w:val="right"/>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9.30</w:t>
            </w:r>
          </w:p>
        </w:tc>
        <w:tc>
          <w:tcPr>
            <w:tcW w:w="0" w:type="auto"/>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p>
        </w:tc>
        <w:tc>
          <w:tcPr>
            <w:tcW w:w="0" w:type="auto"/>
            <w:tcBorders>
              <w:top w:val="nil"/>
              <w:left w:val="nil"/>
              <w:bottom w:val="nil"/>
              <w:right w:val="single" w:sz="8" w:space="0" w:color="CCCCCC"/>
            </w:tcBorders>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Start eerste deel masterclass: basis dialectische gedragstherapie en commitment</w:t>
            </w:r>
          </w:p>
        </w:tc>
      </w:tr>
      <w:tr w:rsidR="002B0EAD" w:rsidRPr="002B0EAD" w:rsidTr="006E6F7E">
        <w:tc>
          <w:tcPr>
            <w:tcW w:w="0" w:type="auto"/>
            <w:tcBorders>
              <w:top w:val="nil"/>
              <w:left w:val="single" w:sz="8" w:space="0" w:color="CCCCCC"/>
              <w:bottom w:val="nil"/>
              <w:right w:val="nil"/>
            </w:tcBorders>
            <w:hideMark/>
          </w:tcPr>
          <w:p w:rsidR="006E6F7E" w:rsidRPr="002B0EAD" w:rsidRDefault="006E6F7E" w:rsidP="006E6F7E">
            <w:pPr>
              <w:spacing w:after="0" w:line="240" w:lineRule="auto"/>
              <w:jc w:val="right"/>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10.30</w:t>
            </w:r>
          </w:p>
        </w:tc>
        <w:tc>
          <w:tcPr>
            <w:tcW w:w="0" w:type="auto"/>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p>
        </w:tc>
        <w:tc>
          <w:tcPr>
            <w:tcW w:w="0" w:type="auto"/>
            <w:tcBorders>
              <w:top w:val="nil"/>
              <w:left w:val="nil"/>
              <w:bottom w:val="nil"/>
              <w:right w:val="single" w:sz="8" w:space="0" w:color="CCCCCC"/>
            </w:tcBorders>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Pauze</w:t>
            </w:r>
          </w:p>
        </w:tc>
      </w:tr>
      <w:tr w:rsidR="002B0EAD" w:rsidRPr="002B0EAD" w:rsidTr="006E6F7E">
        <w:tc>
          <w:tcPr>
            <w:tcW w:w="0" w:type="auto"/>
            <w:tcBorders>
              <w:top w:val="nil"/>
              <w:left w:val="single" w:sz="8" w:space="0" w:color="CCCCCC"/>
              <w:bottom w:val="nil"/>
              <w:right w:val="nil"/>
            </w:tcBorders>
            <w:hideMark/>
          </w:tcPr>
          <w:p w:rsidR="006E6F7E" w:rsidRPr="002B0EAD" w:rsidRDefault="006E6F7E" w:rsidP="006E6F7E">
            <w:pPr>
              <w:spacing w:after="0" w:line="240" w:lineRule="auto"/>
              <w:jc w:val="right"/>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10.45</w:t>
            </w:r>
          </w:p>
        </w:tc>
        <w:tc>
          <w:tcPr>
            <w:tcW w:w="0" w:type="auto"/>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p>
        </w:tc>
        <w:tc>
          <w:tcPr>
            <w:tcW w:w="0" w:type="auto"/>
            <w:tcBorders>
              <w:top w:val="nil"/>
              <w:left w:val="nil"/>
              <w:bottom w:val="nil"/>
              <w:right w:val="single" w:sz="8" w:space="0" w:color="CCCCCC"/>
            </w:tcBorders>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Vervolg masterclass: praktisch en interactief onderdeel met casuïstiek en fragmenten</w:t>
            </w:r>
          </w:p>
        </w:tc>
      </w:tr>
      <w:tr w:rsidR="002B0EAD" w:rsidRPr="002B0EAD" w:rsidTr="006E6F7E">
        <w:tc>
          <w:tcPr>
            <w:tcW w:w="0" w:type="auto"/>
            <w:tcBorders>
              <w:top w:val="nil"/>
              <w:left w:val="single" w:sz="8" w:space="0" w:color="CCCCCC"/>
              <w:bottom w:val="single" w:sz="8" w:space="0" w:color="CCCCCC"/>
              <w:right w:val="nil"/>
            </w:tcBorders>
            <w:hideMark/>
          </w:tcPr>
          <w:p w:rsidR="006E6F7E" w:rsidRPr="002B0EAD" w:rsidRDefault="006E6F7E" w:rsidP="006E6F7E">
            <w:pPr>
              <w:spacing w:after="0" w:line="240" w:lineRule="auto"/>
              <w:jc w:val="right"/>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12.00</w:t>
            </w:r>
          </w:p>
        </w:tc>
        <w:tc>
          <w:tcPr>
            <w:tcW w:w="0" w:type="auto"/>
            <w:tcBorders>
              <w:top w:val="nil"/>
              <w:left w:val="nil"/>
              <w:bottom w:val="single" w:sz="8" w:space="0" w:color="CCCCCC"/>
              <w:right w:val="nil"/>
            </w:tcBorders>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p>
        </w:tc>
        <w:tc>
          <w:tcPr>
            <w:tcW w:w="0" w:type="auto"/>
            <w:tcBorders>
              <w:top w:val="nil"/>
              <w:left w:val="nil"/>
              <w:bottom w:val="single" w:sz="8" w:space="0" w:color="CCCCCC"/>
              <w:right w:val="single" w:sz="8" w:space="0" w:color="CCCCCC"/>
            </w:tcBorders>
            <w:vAlign w:val="center"/>
            <w:hideMark/>
          </w:tcPr>
          <w:p w:rsidR="006E6F7E" w:rsidRPr="002B0EAD" w:rsidRDefault="006E6F7E" w:rsidP="006E6F7E">
            <w:pPr>
              <w:spacing w:after="0" w:line="240" w:lineRule="auto"/>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Afsluiting</w:t>
            </w:r>
          </w:p>
        </w:tc>
      </w:tr>
    </w:tbl>
    <w:p w:rsidR="006E6F7E" w:rsidRPr="002B0EAD" w:rsidRDefault="006E6F7E" w:rsidP="006E6F7E">
      <w:pPr>
        <w:spacing w:after="0" w:line="240" w:lineRule="auto"/>
        <w:rPr>
          <w:rFonts w:ascii="Scala-Regular" w:eastAsia="Times New Roman" w:hAnsi="Scala-Regular" w:cs="Calibri"/>
          <w:sz w:val="23"/>
          <w:szCs w:val="23"/>
          <w:lang w:eastAsia="nl-NL"/>
        </w:rPr>
      </w:pPr>
      <w:r w:rsidRPr="002B0EAD">
        <w:rPr>
          <w:rFonts w:ascii="Scala-Regular" w:eastAsia="Times New Roman" w:hAnsi="Scala-Regular" w:cs="Calibri"/>
          <w:sz w:val="23"/>
          <w:szCs w:val="23"/>
          <w:lang w:eastAsia="nl-NL"/>
        </w:rPr>
        <w:t> </w:t>
      </w:r>
    </w:p>
    <w:p w:rsidR="00E4428C" w:rsidRPr="002B0EAD" w:rsidRDefault="00E4428C">
      <w:pPr>
        <w:rPr>
          <w:rFonts w:ascii="Scala-Regular" w:hAnsi="Scala-Regular"/>
          <w:sz w:val="23"/>
          <w:szCs w:val="23"/>
        </w:rPr>
      </w:pPr>
      <w:bookmarkStart w:id="0" w:name="_GoBack"/>
      <w:bookmarkEnd w:id="0"/>
    </w:p>
    <w:sectPr w:rsidR="00E4428C" w:rsidRPr="002B0E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1B" w:rsidRDefault="00F0591B" w:rsidP="00F0591B">
      <w:pPr>
        <w:spacing w:after="0" w:line="240" w:lineRule="auto"/>
      </w:pPr>
      <w:r>
        <w:separator/>
      </w:r>
    </w:p>
  </w:endnote>
  <w:endnote w:type="continuationSeparator" w:id="0">
    <w:p w:rsidR="00F0591B" w:rsidRDefault="00F0591B" w:rsidP="00F0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1B" w:rsidRDefault="00F0591B" w:rsidP="00F0591B">
      <w:pPr>
        <w:spacing w:after="0" w:line="240" w:lineRule="auto"/>
      </w:pPr>
      <w:r>
        <w:separator/>
      </w:r>
    </w:p>
  </w:footnote>
  <w:footnote w:type="continuationSeparator" w:id="0">
    <w:p w:rsidR="00F0591B" w:rsidRDefault="00F0591B" w:rsidP="00F05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1B" w:rsidRDefault="00F0591B" w:rsidP="00F0591B">
    <w:pPr>
      <w:pStyle w:val="Koptekst"/>
      <w:jc w:val="right"/>
    </w:pPr>
    <w:r w:rsidRPr="0087360B">
      <w:rPr>
        <w:noProof/>
      </w:rPr>
      <w:drawing>
        <wp:inline distT="0" distB="0" distL="0" distR="0">
          <wp:extent cx="1771650" cy="885825"/>
          <wp:effectExtent l="0" t="0" r="0" b="9525"/>
          <wp:docPr id="1" name="Afbeelding 1" descr="D:\Users\s.van.den.brink\AppData\Local\Microsoft\Windows\INetCacheContent.Word\RinoGroepLogo_DEF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van.den.brink\AppData\Local\Microsoft\Windows\INetCacheContent.Word\RinoGroepLogo_DEF_klei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75368"/>
    <w:multiLevelType w:val="multilevel"/>
    <w:tmpl w:val="0413001D"/>
    <w:styleLink w:val="Stijl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34D24CC"/>
    <w:multiLevelType w:val="multilevel"/>
    <w:tmpl w:val="C58E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7E"/>
    <w:rsid w:val="002B0EAD"/>
    <w:rsid w:val="006E6F7E"/>
    <w:rsid w:val="0073038E"/>
    <w:rsid w:val="00A450A5"/>
    <w:rsid w:val="00C82AE8"/>
    <w:rsid w:val="00E4428C"/>
    <w:rsid w:val="00F05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8FE4"/>
  <w15:chartTrackingRefBased/>
  <w15:docId w15:val="{B485363A-984B-4D57-BF11-C8B61094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2">
    <w:name w:val="Stijl12"/>
    <w:uiPriority w:val="99"/>
    <w:rsid w:val="0073038E"/>
    <w:pPr>
      <w:numPr>
        <w:numId w:val="1"/>
      </w:numPr>
    </w:pPr>
  </w:style>
  <w:style w:type="character" w:styleId="Verwijzingopmerking">
    <w:name w:val="annotation reference"/>
    <w:basedOn w:val="Standaardalinea-lettertype"/>
    <w:uiPriority w:val="99"/>
    <w:semiHidden/>
    <w:unhideWhenUsed/>
    <w:rsid w:val="006E6F7E"/>
    <w:rPr>
      <w:sz w:val="16"/>
      <w:szCs w:val="16"/>
    </w:rPr>
  </w:style>
  <w:style w:type="paragraph" w:styleId="Tekstopmerking">
    <w:name w:val="annotation text"/>
    <w:basedOn w:val="Standaard"/>
    <w:link w:val="TekstopmerkingChar"/>
    <w:uiPriority w:val="99"/>
    <w:semiHidden/>
    <w:unhideWhenUsed/>
    <w:rsid w:val="006E6F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6F7E"/>
    <w:rPr>
      <w:sz w:val="20"/>
      <w:szCs w:val="20"/>
    </w:rPr>
  </w:style>
  <w:style w:type="paragraph" w:styleId="Onderwerpvanopmerking">
    <w:name w:val="annotation subject"/>
    <w:basedOn w:val="Tekstopmerking"/>
    <w:next w:val="Tekstopmerking"/>
    <w:link w:val="OnderwerpvanopmerkingChar"/>
    <w:uiPriority w:val="99"/>
    <w:semiHidden/>
    <w:unhideWhenUsed/>
    <w:rsid w:val="006E6F7E"/>
    <w:rPr>
      <w:b/>
      <w:bCs/>
    </w:rPr>
  </w:style>
  <w:style w:type="character" w:customStyle="1" w:styleId="OnderwerpvanopmerkingChar">
    <w:name w:val="Onderwerp van opmerking Char"/>
    <w:basedOn w:val="TekstopmerkingChar"/>
    <w:link w:val="Onderwerpvanopmerking"/>
    <w:uiPriority w:val="99"/>
    <w:semiHidden/>
    <w:rsid w:val="006E6F7E"/>
    <w:rPr>
      <w:b/>
      <w:bCs/>
      <w:sz w:val="20"/>
      <w:szCs w:val="20"/>
    </w:rPr>
  </w:style>
  <w:style w:type="paragraph" w:styleId="Ballontekst">
    <w:name w:val="Balloon Text"/>
    <w:basedOn w:val="Standaard"/>
    <w:link w:val="BallontekstChar"/>
    <w:uiPriority w:val="99"/>
    <w:semiHidden/>
    <w:unhideWhenUsed/>
    <w:rsid w:val="006E6F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F7E"/>
    <w:rPr>
      <w:rFonts w:ascii="Segoe UI" w:hAnsi="Segoe UI" w:cs="Segoe UI"/>
      <w:sz w:val="18"/>
      <w:szCs w:val="18"/>
    </w:rPr>
  </w:style>
  <w:style w:type="paragraph" w:styleId="Koptekst">
    <w:name w:val="header"/>
    <w:basedOn w:val="Standaard"/>
    <w:link w:val="KoptekstChar"/>
    <w:uiPriority w:val="99"/>
    <w:unhideWhenUsed/>
    <w:rsid w:val="00F059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591B"/>
  </w:style>
  <w:style w:type="paragraph" w:styleId="Voettekst">
    <w:name w:val="footer"/>
    <w:basedOn w:val="Standaard"/>
    <w:link w:val="VoettekstChar"/>
    <w:uiPriority w:val="99"/>
    <w:unhideWhenUsed/>
    <w:rsid w:val="00F059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dc:creator>
  <cp:keywords/>
  <dc:description/>
  <cp:lastModifiedBy>Hanneke van de Kamp</cp:lastModifiedBy>
  <cp:revision>3</cp:revision>
  <dcterms:created xsi:type="dcterms:W3CDTF">2018-03-20T12:26:00Z</dcterms:created>
  <dcterms:modified xsi:type="dcterms:W3CDTF">2018-03-27T11:03:00Z</dcterms:modified>
</cp:coreProperties>
</file>